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clear" w:pos="207"/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clear" w:pos="207"/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1D3E611D" w14:textId="07AADE8A" w:rsidR="0050044F" w:rsidRPr="0050044F" w:rsidRDefault="0050044F" w:rsidP="0050044F">
      <w:pPr>
        <w:pStyle w:val="Nagwek7"/>
        <w:widowControl w:val="0"/>
        <w:numPr>
          <w:ilvl w:val="0"/>
          <w:numId w:val="2"/>
        </w:numPr>
        <w:tabs>
          <w:tab w:val="clear" w:pos="207"/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tabs>
          <w:tab w:val="clear" w:pos="207"/>
        </w:tabs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50044F" w:rsidRDefault="0050044F" w:rsidP="0050044F">
      <w:pPr>
        <w:pStyle w:val="MKTekst"/>
        <w:numPr>
          <w:ilvl w:val="0"/>
          <w:numId w:val="2"/>
        </w:numPr>
        <w:tabs>
          <w:tab w:val="clear" w:pos="207"/>
        </w:tabs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Default="0050044F" w:rsidP="0050044F">
      <w:pPr>
        <w:pStyle w:val="MKTekst"/>
        <w:numPr>
          <w:ilvl w:val="0"/>
          <w:numId w:val="2"/>
        </w:numPr>
        <w:tabs>
          <w:tab w:val="clear" w:pos="207"/>
        </w:tabs>
        <w:spacing w:line="240" w:lineRule="auto"/>
        <w:ind w:left="284" w:hanging="284"/>
        <w:rPr>
          <w:sz w:val="18"/>
          <w:szCs w:val="18"/>
        </w:rPr>
      </w:pPr>
      <w:r w:rsidRPr="00FF4199">
        <w:rPr>
          <w:sz w:val="18"/>
          <w:szCs w:val="18"/>
        </w:rPr>
        <w:t xml:space="preserve">Zaświadczenie z banku lub oddziału banku na terytorium Polski o prowadzeniu na rzecz </w:t>
      </w:r>
      <w:r>
        <w:rPr>
          <w:sz w:val="18"/>
          <w:szCs w:val="18"/>
        </w:rPr>
        <w:t>Oferenta</w:t>
      </w:r>
      <w:r w:rsidRPr="00FF4199">
        <w:rPr>
          <w:sz w:val="18"/>
          <w:szCs w:val="18"/>
        </w:rPr>
        <w:t xml:space="preserve"> bankowego rachunku rozliczeniowego (w rozumieniu art. 49 ust.1 pkt 1 ustawy z dnia 29 sierpnia 1997 r. - Prawo bankowe), na który ma być dokonana zapłata wynagrodzenia</w:t>
      </w:r>
      <w:r>
        <w:rPr>
          <w:sz w:val="18"/>
          <w:szCs w:val="18"/>
        </w:rPr>
        <w:t>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tabs>
          <w:tab w:val="clear" w:pos="207"/>
        </w:tabs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tabs>
          <w:tab w:val="clear" w:pos="207"/>
        </w:tabs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14D49AD4" w14:textId="77777777" w:rsidR="0050044F" w:rsidRPr="002B1E4B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48065D59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2B1E4B">
        <w:rPr>
          <w:b/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</w:p>
    <w:p w14:paraId="174BC002" w14:textId="77777777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lastRenderedPageBreak/>
        <w:t xml:space="preserve">oświadczenie dotyczące Beneficjenta Rzeczywistego wg wzoru stanowiącego </w:t>
      </w:r>
      <w:r w:rsidRPr="002B1E4B">
        <w:rPr>
          <w:b/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5011C9DE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b/>
          <w:bCs/>
          <w:sz w:val="18"/>
          <w:szCs w:val="18"/>
        </w:rPr>
        <w:t>INNE … (jeżeli dotyczy)</w:t>
      </w:r>
      <w:r w:rsidRPr="002B1E4B">
        <w:rPr>
          <w:sz w:val="18"/>
          <w:szCs w:val="18"/>
        </w:rPr>
        <w:t>.</w:t>
      </w:r>
    </w:p>
    <w:p w14:paraId="4AF23599" w14:textId="101F8B9C" w:rsidR="0050044F" w:rsidRP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techniczne</w:t>
      </w:r>
      <w:bookmarkEnd w:id="3"/>
      <w:r w:rsidR="003C6B2B">
        <w:rPr>
          <w:rStyle w:val="Odwoanieprzypisudolnego"/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47C94D5B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4" w:name="_Toc182833060"/>
      <w:r w:rsidRPr="002B1E4B">
        <w:rPr>
          <w:rFonts w:cs="Arial"/>
          <w:sz w:val="18"/>
          <w:szCs w:val="18"/>
        </w:rPr>
        <w:t xml:space="preserve">Przedstawienie referencji </w:t>
      </w:r>
      <w:r w:rsidRPr="00E61D06">
        <w:rPr>
          <w:rFonts w:cs="Arial"/>
          <w:sz w:val="18"/>
          <w:szCs w:val="18"/>
        </w:rPr>
        <w:t xml:space="preserve">własnych podpisanych/poświadczonych przez Przedstawiciela Inwestora/Zamawiającego z ostatnich 5 </w:t>
      </w:r>
      <w:r w:rsidRPr="006E123A">
        <w:rPr>
          <w:rFonts w:cs="Arial"/>
          <w:sz w:val="18"/>
          <w:szCs w:val="18"/>
        </w:rPr>
        <w:t>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wraz z tłumaczeniem na j. polski. Szczegółowe wymagania są zawarte w „Załączniku nr 1 do Zasad określania wymagań względem wykonawców ubiegających się o uzyskanie zamówienia” stanowiącym Załącznik nr 8</w:t>
      </w:r>
      <w:r w:rsidRPr="006E123A">
        <w:rPr>
          <w:rFonts w:cs="Arial"/>
          <w:sz w:val="22"/>
          <w:szCs w:val="22"/>
        </w:rPr>
        <w:t xml:space="preserve"> </w:t>
      </w:r>
      <w:r w:rsidRPr="006E123A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4DE683B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Potwierdzenie udzielenia gwarancji na okres – 36 miesięcy,</w:t>
      </w:r>
    </w:p>
    <w:p w14:paraId="1F577000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bookmarkStart w:id="5" w:name="_Hlk220572086"/>
      <w:r w:rsidRPr="006E123A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6E123A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6E123A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Formularz oceny kontrahenta, Załącznik nr 7 do zapytania ofertowego</w:t>
      </w:r>
      <w:r w:rsidRPr="00E61D06">
        <w:rPr>
          <w:rFonts w:cs="Arial"/>
          <w:sz w:val="18"/>
          <w:szCs w:val="18"/>
        </w:rPr>
        <w:t>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P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6F9A8016" w14:textId="77777777" w:rsidR="0050044F" w:rsidRPr="002B1E4B" w:rsidRDefault="0050044F" w:rsidP="0050044F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cs="Arial"/>
          <w:sz w:val="18"/>
          <w:szCs w:val="18"/>
        </w:rPr>
      </w:pPr>
      <w:r w:rsidRPr="002B1E4B">
        <w:rPr>
          <w:rFonts w:cs="Arial"/>
          <w:sz w:val="18"/>
          <w:szCs w:val="18"/>
        </w:rPr>
        <w:t xml:space="preserve"> Akceptacja </w:t>
      </w:r>
      <w:r>
        <w:rPr>
          <w:rFonts w:cs="Arial"/>
          <w:sz w:val="18"/>
          <w:szCs w:val="18"/>
        </w:rPr>
        <w:t>co najmniej 30</w:t>
      </w:r>
      <w:r w:rsidRPr="002B1E4B">
        <w:rPr>
          <w:rFonts w:cs="Arial"/>
          <w:sz w:val="18"/>
          <w:szCs w:val="18"/>
        </w:rPr>
        <w:t xml:space="preserve"> dniowego terminu płatności faktury/faktur.</w:t>
      </w:r>
    </w:p>
    <w:p w14:paraId="1530AD67" w14:textId="77777777" w:rsidR="0050044F" w:rsidRPr="009073F2" w:rsidRDefault="0050044F" w:rsidP="0050044F">
      <w:pPr>
        <w:pStyle w:val="Akapitzlist"/>
        <w:numPr>
          <w:ilvl w:val="0"/>
          <w:numId w:val="4"/>
        </w:numPr>
        <w:tabs>
          <w:tab w:val="clear" w:pos="207"/>
        </w:tabs>
        <w:spacing w:line="276" w:lineRule="auto"/>
        <w:ind w:left="284" w:hanging="284"/>
        <w:jc w:val="both"/>
        <w:rPr>
          <w:rFonts w:cs="Arial"/>
          <w:strike/>
          <w:sz w:val="18"/>
          <w:szCs w:val="18"/>
        </w:rPr>
      </w:pPr>
      <w:r w:rsidRPr="009073F2">
        <w:rPr>
          <w:rFonts w:cs="Arial"/>
          <w:strike/>
          <w:sz w:val="18"/>
          <w:szCs w:val="18"/>
        </w:rPr>
        <w:t xml:space="preserve">Zobowiązanie do złożenia zabezpieczenia należytej realizacji i starannego wykonania Umowy 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przedłożenie dokumentów opisanych w pkt. I Dokumenty formalne </w:t>
      </w:r>
      <w:proofErr w:type="spellStart"/>
      <w:r w:rsidRPr="0050044F">
        <w:rPr>
          <w:rFonts w:cs="Arial"/>
          <w:i/>
          <w:iCs/>
          <w:sz w:val="18"/>
          <w:szCs w:val="18"/>
        </w:rPr>
        <w:t>ppkt</w:t>
      </w:r>
      <w:proofErr w:type="spellEnd"/>
      <w:r w:rsidRPr="0050044F">
        <w:rPr>
          <w:rFonts w:cs="Arial"/>
          <w:i/>
          <w:iCs/>
          <w:sz w:val="18"/>
          <w:szCs w:val="18"/>
        </w:rPr>
        <w:t>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422CA12A" w:rsidR="0050044F" w:rsidRPr="002B1E4B" w:rsidRDefault="003C6B2B" w:rsidP="003C6B2B">
      <w:pPr>
        <w:pStyle w:val="Tekstpodstawowy"/>
        <w:pBdr>
          <w:top w:val="single" w:sz="4" w:space="1" w:color="auto"/>
        </w:pBdr>
        <w:tabs>
          <w:tab w:val="num" w:pos="567"/>
        </w:tabs>
        <w:spacing w:after="0"/>
        <w:ind w:left="567" w:right="140" w:hanging="567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6"/>
          <w:szCs w:val="18"/>
          <w:vertAlign w:val="superscript"/>
        </w:rPr>
        <w:t>4</w:t>
      </w:r>
      <w:r w:rsidRPr="004B54E6">
        <w:rPr>
          <w:rFonts w:cs="Arial"/>
          <w:sz w:val="16"/>
          <w:szCs w:val="18"/>
        </w:rPr>
        <w:t xml:space="preserve">Kryteria/dokumenty techniczne mogą być określone w </w:t>
      </w:r>
      <w:r>
        <w:rPr>
          <w:rFonts w:cs="Arial"/>
          <w:sz w:val="16"/>
          <w:szCs w:val="18"/>
        </w:rPr>
        <w:t xml:space="preserve">Connect </w:t>
      </w:r>
      <w:r w:rsidRPr="004B54E6">
        <w:rPr>
          <w:rFonts w:cs="Arial"/>
          <w:sz w:val="16"/>
          <w:szCs w:val="18"/>
        </w:rPr>
        <w:t>jako kryteria/dokumenty merytoryczne</w:t>
      </w:r>
    </w:p>
    <w:p w14:paraId="459E3D51" w14:textId="77777777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lastRenderedPageBreak/>
        <w:t>Prosimy o przygotowanie oferty zgodnie z ww. punktami.</w:t>
      </w:r>
    </w:p>
    <w:p w14:paraId="728E9309" w14:textId="77777777" w:rsidR="007B5FA8" w:rsidRDefault="007B5FA8"/>
    <w:sectPr w:rsidR="007B5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54E8E" w14:textId="77777777" w:rsidR="0050044F" w:rsidRDefault="0050044F" w:rsidP="0050044F">
      <w:r>
        <w:separator/>
      </w:r>
    </w:p>
  </w:endnote>
  <w:endnote w:type="continuationSeparator" w:id="0">
    <w:p w14:paraId="08E1D51A" w14:textId="77777777" w:rsidR="0050044F" w:rsidRDefault="0050044F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FD17" w14:textId="77777777" w:rsidR="003C6B2B" w:rsidRDefault="003C6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5BE7" w14:textId="77777777" w:rsidR="003C6B2B" w:rsidRDefault="003C6B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E472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86160" w14:textId="77777777" w:rsidR="0050044F" w:rsidRDefault="0050044F" w:rsidP="0050044F">
      <w:r>
        <w:separator/>
      </w:r>
    </w:p>
  </w:footnote>
  <w:footnote w:type="continuationSeparator" w:id="0">
    <w:p w14:paraId="61455E2A" w14:textId="77777777" w:rsidR="0050044F" w:rsidRDefault="0050044F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61C9" w14:textId="77777777" w:rsidR="003C6B2B" w:rsidRDefault="003C6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020E" w14:textId="77777777" w:rsidR="003C6B2B" w:rsidRDefault="003C6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225E1"/>
    <w:multiLevelType w:val="hybridMultilevel"/>
    <w:tmpl w:val="DA64A860"/>
    <w:lvl w:ilvl="0" w:tplc="FD4CE6D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9774DC1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1420448262">
    <w:abstractNumId w:val="2"/>
  </w:num>
  <w:num w:numId="2" w16cid:durableId="409277206">
    <w:abstractNumId w:val="6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C78EB"/>
    <w:rsid w:val="003A0AE0"/>
    <w:rsid w:val="003C6B2B"/>
    <w:rsid w:val="0050044F"/>
    <w:rsid w:val="005E29C6"/>
    <w:rsid w:val="006E123A"/>
    <w:rsid w:val="00711F4B"/>
    <w:rsid w:val="007A23D7"/>
    <w:rsid w:val="007B5FA8"/>
    <w:rsid w:val="008A27E6"/>
    <w:rsid w:val="009C53D9"/>
    <w:rsid w:val="00B36496"/>
    <w:rsid w:val="00B5728B"/>
    <w:rsid w:val="00B708BD"/>
    <w:rsid w:val="00BC2043"/>
    <w:rsid w:val="00D673A6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Simon Agnieszka (PSG)</cp:lastModifiedBy>
  <cp:revision>6</cp:revision>
  <dcterms:created xsi:type="dcterms:W3CDTF">2026-02-02T07:52:00Z</dcterms:created>
  <dcterms:modified xsi:type="dcterms:W3CDTF">2026-02-02T09:10:00Z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2026-02-02T08:01:53Z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f5947ce7-3530-43ed-ae3e-dd50481e09d4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